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3E" w:rsidRPr="00E82D83" w:rsidRDefault="0071393E" w:rsidP="0071393E">
      <w:pPr>
        <w:snapToGri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E82D83">
        <w:rPr>
          <w:rFonts w:eastAsia="Times New Roman"/>
          <w:b/>
          <w:sz w:val="28"/>
          <w:szCs w:val="28"/>
          <w:lang w:eastAsia="ru-RU"/>
        </w:rPr>
        <w:t xml:space="preserve">Анализ аварийности </w:t>
      </w:r>
    </w:p>
    <w:p w:rsidR="0071393E" w:rsidRPr="00E82D83" w:rsidRDefault="0071393E" w:rsidP="0071393E">
      <w:pPr>
        <w:snapToGri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E82D83">
        <w:rPr>
          <w:rFonts w:eastAsia="Times New Roman"/>
          <w:b/>
          <w:sz w:val="28"/>
          <w:szCs w:val="28"/>
          <w:lang w:eastAsia="ru-RU"/>
        </w:rPr>
        <w:t>с участием несовершеннолетних за 2017 год</w:t>
      </w:r>
    </w:p>
    <w:p w:rsidR="0071393E" w:rsidRPr="00E82D83" w:rsidRDefault="0071393E" w:rsidP="0071393E">
      <w:pPr>
        <w:snapToGri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2D83">
        <w:rPr>
          <w:rFonts w:eastAsia="Times New Roman"/>
          <w:sz w:val="28"/>
          <w:szCs w:val="28"/>
          <w:lang w:eastAsia="ru-RU"/>
        </w:rPr>
        <w:t xml:space="preserve">Анализ дорожно-транспортных происшествий с участием детей и подростков до 16 лет в Республике Коми свидетельствует о том, что в 2017 году количество ДТП с участием несовершеннолетних по сравнению с аналогичным периодом прошлого года (далее - АППГ) </w:t>
      </w:r>
      <w:r w:rsidRPr="00E82D83">
        <w:rPr>
          <w:rFonts w:eastAsia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eastAsia="Times New Roman"/>
          <w:sz w:val="28"/>
          <w:szCs w:val="28"/>
          <w:lang w:eastAsia="ru-RU"/>
        </w:rPr>
        <w:t xml:space="preserve"> на 3,6%. Так, на дорогах республики зарегистрировано 165 ДТП (АППГ – 159), в которых число несовершеннолетних получивших травмы </w:t>
      </w:r>
      <w:r w:rsidRPr="00E82D83">
        <w:rPr>
          <w:rFonts w:eastAsia="Times New Roman"/>
          <w:b/>
          <w:sz w:val="28"/>
          <w:szCs w:val="28"/>
          <w:u w:val="single"/>
          <w:lang w:eastAsia="ru-RU"/>
        </w:rPr>
        <w:t>увеличилось</w:t>
      </w:r>
      <w:r w:rsidRPr="00E82D83">
        <w:rPr>
          <w:rFonts w:eastAsia="Times New Roman"/>
          <w:sz w:val="28"/>
          <w:szCs w:val="28"/>
          <w:lang w:eastAsia="ru-RU"/>
        </w:rPr>
        <w:t xml:space="preserve"> на 6,8% (с 178 до 191</w:t>
      </w:r>
      <w:proofErr w:type="gramEnd"/>
      <w:r w:rsidRPr="00E82D83">
        <w:rPr>
          <w:rFonts w:eastAsia="Times New Roman"/>
          <w:sz w:val="28"/>
          <w:szCs w:val="28"/>
          <w:lang w:eastAsia="ru-RU"/>
        </w:rPr>
        <w:t>) и шесть детей погибли (АППГ – 4). По неосторожности детей пр</w:t>
      </w:r>
      <w:r w:rsidRPr="00E82D83">
        <w:rPr>
          <w:rFonts w:eastAsia="Times New Roman"/>
          <w:sz w:val="28"/>
          <w:szCs w:val="28"/>
          <w:lang w:eastAsia="ru-RU"/>
        </w:rPr>
        <w:t>о</w:t>
      </w:r>
      <w:r w:rsidRPr="00E82D83">
        <w:rPr>
          <w:rFonts w:eastAsia="Times New Roman"/>
          <w:sz w:val="28"/>
          <w:szCs w:val="28"/>
          <w:lang w:eastAsia="ru-RU"/>
        </w:rPr>
        <w:t>изошло 54 ДТП (32,7% от общего числа ДТП).</w:t>
      </w:r>
    </w:p>
    <w:p w:rsidR="0071393E" w:rsidRPr="00E82D83" w:rsidRDefault="0071393E" w:rsidP="0071393E">
      <w:pPr>
        <w:snapToGri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512435" cy="322643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– до 3-х лет: 12 (6,1%) детей.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– от 3 до 7 лет: 29 (14,7%) несовершеннолетних.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– от 7 до 11 лет: 77 (39,1%) несовершеннолетних.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– от 11 до 16 лет: 79 (40,1%) несовершеннолетних.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Таким образом, наибольший процент пострадавших – это несовершеннолетние в возрасте от 7 до 16 лет.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Из 197 пострадавших детей – 106 мальчиков и 91 девочка.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 и районах республики: </w:t>
      </w:r>
      <w:proofErr w:type="gramStart"/>
      <w:r w:rsidRPr="00E82D83">
        <w:rPr>
          <w:rFonts w:eastAsia="Times New Roman"/>
          <w:sz w:val="28"/>
          <w:szCs w:val="28"/>
          <w:lang w:eastAsia="ru-RU"/>
        </w:rPr>
        <w:t xml:space="preserve">Воркута 11 (АППГ – 7), Печора 10 (АППГ – 3), Ухта 19 (АППГ – 17), Сосногорск 8 (АППГ – 6),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Сысольский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район 8 (АППГ – 1),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Ижемский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район 3 (АППГ – 1),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Куломский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район 5 (АППГ – 4),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Удорский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район 4 (АППГ – 3),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Цилемский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район 4 (АППГ – не зарегистрировано),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Троицко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– Печорский район 1 (АППГ – не зарегистрировано).</w:t>
      </w:r>
      <w:proofErr w:type="gramEnd"/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Общее количество ДТП за прошедшие месяцы: январь – 11 ДТП (6,7%), февраль – 15 (9,1%), март – 8 (4,8%), апрель – 12 (7,3%), май –11 (6,7%), июнь – 20 (12,1%), июль – 17 (10,3%), август – 16 (9,7%), сентябрь – 16 </w:t>
      </w:r>
      <w:r w:rsidRPr="00E82D83">
        <w:rPr>
          <w:rFonts w:eastAsia="Times New Roman"/>
          <w:sz w:val="28"/>
          <w:szCs w:val="28"/>
          <w:lang w:eastAsia="ru-RU"/>
        </w:rPr>
        <w:lastRenderedPageBreak/>
        <w:t>(9,7%), октябрь – 11 (6,7%), ноябрь – 15 (9,1%), декабрь – 13 (7,9%).</w:t>
      </w:r>
    </w:p>
    <w:p w:rsidR="0071393E" w:rsidRPr="00E82D83" w:rsidRDefault="0071393E" w:rsidP="0071393E">
      <w:pPr>
        <w:snapToGrid w:val="0"/>
        <w:jc w:val="both"/>
        <w:rPr>
          <w:rFonts w:eastAsia="Times New Roman"/>
          <w:color w:val="FF0000"/>
          <w:sz w:val="20"/>
          <w:szCs w:val="28"/>
          <w:lang w:eastAsia="ru-RU"/>
        </w:rPr>
      </w:pPr>
      <w:r>
        <w:rPr>
          <w:rFonts w:eastAsia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572760" cy="287274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Распределение ДТП по дням недели: наибольшее количество ДТП произошло в понедельник – 29 ДТП (17,6 %), в пятницу, субботу и воскресенье по 25 ДТП (15,2%). Меньше всего ДТП зарегистрировано во вторник – 16 ДТП (9,7%).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71393E" w:rsidRPr="00E82D83" w:rsidRDefault="0071393E" w:rsidP="0071393E">
      <w:pPr>
        <w:snapToGri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563870" cy="288988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ДТП по времени суток: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– утром (с 6-00 до 12-00) – 19 (11,5%);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– днем (с 12-00 до 18-00) – 78 (47,3%);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– вечером (с 18-00 до 24-00) – 63 (38,2%); </w:t>
      </w:r>
    </w:p>
    <w:p w:rsidR="0071393E" w:rsidRPr="00E82D83" w:rsidRDefault="0071393E" w:rsidP="0071393E">
      <w:pPr>
        <w:tabs>
          <w:tab w:val="center" w:pos="5037"/>
        </w:tabs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– ночью (с 24-00 до 6-00) – 5 (3%). </w:t>
      </w:r>
      <w:r w:rsidRPr="00E82D83">
        <w:rPr>
          <w:rFonts w:eastAsia="Times New Roman"/>
          <w:sz w:val="28"/>
          <w:szCs w:val="28"/>
          <w:lang w:eastAsia="ru-RU"/>
        </w:rPr>
        <w:tab/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В светлое время суток произошло 106 ДТП, в темное время 59.</w:t>
      </w:r>
      <w:r w:rsidRPr="00E82D83">
        <w:rPr>
          <w:rFonts w:eastAsia="Times New Roman"/>
          <w:sz w:val="28"/>
          <w:szCs w:val="28"/>
          <w:lang w:eastAsia="ru-RU"/>
        </w:rPr>
        <w:t xml:space="preserve"> </w:t>
      </w:r>
    </w:p>
    <w:p w:rsidR="0071393E" w:rsidRPr="00E82D83" w:rsidRDefault="0071393E" w:rsidP="0071393E">
      <w:pPr>
        <w:ind w:firstLine="720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snapToGrid w:val="0"/>
          <w:sz w:val="28"/>
          <w:szCs w:val="28"/>
          <w:lang w:eastAsia="ru-RU"/>
        </w:rPr>
        <w:t>Распределение пострадавших несовершеннолетних в дорожно-транспортных происшествиях по категориям участников дорожного движения: 91 пешеход (из них 2 погибли), 86 пассажиров (из них 3 погибли), 13 в</w:t>
      </w:r>
      <w:r w:rsidRPr="00E82D83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E82D83">
        <w:rPr>
          <w:rFonts w:eastAsia="Times New Roman"/>
          <w:snapToGrid w:val="0"/>
          <w:sz w:val="28"/>
          <w:szCs w:val="28"/>
          <w:lang w:eastAsia="ru-RU"/>
        </w:rPr>
        <w:t xml:space="preserve">лосипедистов (из них 1 погиб), 7 водителей транспортных средств. </w:t>
      </w:r>
    </w:p>
    <w:p w:rsidR="0071393E" w:rsidRPr="00E82D83" w:rsidRDefault="0071393E" w:rsidP="0071393E">
      <w:pPr>
        <w:jc w:val="both"/>
        <w:rPr>
          <w:rFonts w:eastAsia="Times New Roman"/>
          <w:snapToGrid w:val="0"/>
          <w:color w:val="FF0000"/>
          <w:sz w:val="28"/>
          <w:szCs w:val="28"/>
          <w:lang w:eastAsia="ru-RU"/>
        </w:rPr>
      </w:pPr>
      <w:r>
        <w:rPr>
          <w:rFonts w:eastAsia="Times New Roman"/>
          <w:noProof/>
          <w:color w:val="FF0000"/>
          <w:lang w:eastAsia="ru-RU"/>
        </w:rPr>
        <w:lastRenderedPageBreak/>
        <w:drawing>
          <wp:inline distT="0" distB="0" distL="0" distR="0">
            <wp:extent cx="5770880" cy="302768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 w:rsidRPr="00E82D83">
        <w:rPr>
          <w:rFonts w:eastAsia="Times New Roman"/>
          <w:b/>
          <w:sz w:val="28"/>
          <w:szCs w:val="28"/>
          <w:lang w:eastAsia="ru-RU"/>
        </w:rPr>
        <w:t xml:space="preserve">– В 85 зарегистрированных ДТП (51,5% от общего числа ДТП) (АППГ- 79) с участием детей – пешеходов, 89 несовершеннолетних получили травмы и двое детей погибли. </w:t>
      </w:r>
    </w:p>
    <w:p w:rsidR="0071393E" w:rsidRPr="00E82D83" w:rsidRDefault="0071393E" w:rsidP="0071393E">
      <w:pPr>
        <w:snapToGrid w:val="0"/>
        <w:jc w:val="both"/>
        <w:rPr>
          <w:rFonts w:eastAsia="Times New Roman"/>
          <w:b/>
          <w:color w:val="FF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770880" cy="248412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Один погибший ребенок и 89 пострадавших получили травмы в населенных пунктах, вне населенного пункта в ДТП погиб один ребенок – пешеход (г. Воркута). На пешеходных переходах пострадали 36 детей, из них 5 были в сопровождении родителей, из которых один ребенок погиб.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24 ребенка пострадали в дворовой территории, на краю проезжей части или на тротуаре, 8 детей находились в сопровождении взрослых. </w:t>
      </w:r>
    </w:p>
    <w:p w:rsidR="0071393E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>По собственной неосторожности пострадали 37 несовершеннолетних пешехода (40,6% от числа пострадавших пешеходов).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Причины ДТП по неосторожности детей:</w:t>
      </w:r>
      <w:r w:rsidRPr="00E82D83">
        <w:rPr>
          <w:rFonts w:eastAsia="Times New Roman"/>
          <w:sz w:val="28"/>
          <w:szCs w:val="28"/>
          <w:lang w:eastAsia="ru-RU"/>
        </w:rPr>
        <w:t xml:space="preserve"> 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– переход проезжей части вне пешеходного перехода (вне его видимости) – 10 (в сопровождении взрослого 3 ребенка);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– переход проезжей части вне пешеходного перехода, в зоне его видимости – 12 детей (в сопровождении взрослого 3 ребенка);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– выход на проезжую часть из-за </w:t>
      </w:r>
      <w:proofErr w:type="gramStart"/>
      <w:r w:rsidRPr="00C047E3">
        <w:rPr>
          <w:rFonts w:eastAsia="Times New Roman"/>
          <w:sz w:val="28"/>
          <w:szCs w:val="28"/>
          <w:highlight w:val="yellow"/>
          <w:lang w:eastAsia="ru-RU"/>
        </w:rPr>
        <w:t>стоящего</w:t>
      </w:r>
      <w:proofErr w:type="gramEnd"/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 ТС – 4;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– </w:t>
      </w:r>
      <w:proofErr w:type="gramStart"/>
      <w:r w:rsidRPr="00C047E3">
        <w:rPr>
          <w:rFonts w:eastAsia="Times New Roman"/>
          <w:sz w:val="28"/>
          <w:szCs w:val="28"/>
          <w:highlight w:val="yellow"/>
          <w:lang w:eastAsia="ru-RU"/>
        </w:rPr>
        <w:t>перед</w:t>
      </w:r>
      <w:proofErr w:type="gramEnd"/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 близко идущим ТС – 4;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lastRenderedPageBreak/>
        <w:t>– на красный сигнал светофора – 3;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– игра на проезжей части – 2* ребенка;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>– нарушение ПДД пешеходом при перемещении по обочине, краю ПЧ – 2. (оба ребенка были в сопровождении взрослого).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18 детей – пешеходов в момент ДТП находились в сопровождении взрослых.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В 37 </w:t>
      </w:r>
      <w:proofErr w:type="gramStart"/>
      <w:r w:rsidRPr="00C047E3">
        <w:rPr>
          <w:rFonts w:eastAsia="Times New Roman"/>
          <w:sz w:val="28"/>
          <w:szCs w:val="28"/>
          <w:highlight w:val="yellow"/>
          <w:lang w:eastAsia="ru-RU"/>
        </w:rPr>
        <w:t>ДТП</w:t>
      </w:r>
      <w:proofErr w:type="gramEnd"/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 в которых усматривается вина детей, 8 детей находились в сопровождении взрослых.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82D83">
        <w:rPr>
          <w:rFonts w:eastAsia="Times New Roman"/>
          <w:sz w:val="28"/>
          <w:szCs w:val="28"/>
          <w:lang w:eastAsia="ru-RU"/>
        </w:rPr>
        <w:t>Световозвращающие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элементы присутствовали на одежде у 19 (20,9%) несовершеннолетних из общего числа пострадавших пешеходов. В темное время суток пострадали 29 (31,9%) несовершеннолетних пешехода из них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световозвращающие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элементы были у 7 детей.</w:t>
      </w:r>
    </w:p>
    <w:p w:rsidR="0071393E" w:rsidRPr="00E82D83" w:rsidRDefault="0071393E" w:rsidP="0071393E">
      <w:pPr>
        <w:ind w:firstLine="720"/>
        <w:jc w:val="both"/>
        <w:rPr>
          <w:rFonts w:eastAsia="Times New Roman"/>
          <w:b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snapToGrid w:val="0"/>
          <w:sz w:val="28"/>
          <w:szCs w:val="28"/>
          <w:lang w:eastAsia="ru-RU"/>
        </w:rPr>
        <w:t xml:space="preserve">– </w:t>
      </w:r>
      <w:r w:rsidRPr="00E82D83">
        <w:rPr>
          <w:rFonts w:eastAsia="Times New Roman"/>
          <w:b/>
          <w:snapToGrid w:val="0"/>
          <w:sz w:val="28"/>
          <w:szCs w:val="28"/>
          <w:lang w:eastAsia="ru-RU"/>
        </w:rPr>
        <w:t xml:space="preserve">В 60 ДТП (36,4% от общего числа ДТП) (АППГ – 65) пострадали 83 несовершеннолетних пассажира (АППГ – 83) и три ребёнка погибли (АППГ – 3). </w:t>
      </w:r>
    </w:p>
    <w:p w:rsidR="0071393E" w:rsidRPr="00E82D83" w:rsidRDefault="0071393E" w:rsidP="0071393E">
      <w:pPr>
        <w:snapToGri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5770880" cy="27520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red"/>
          <w:lang w:eastAsia="ru-RU"/>
        </w:rPr>
        <w:t>Проведённым анализом установлено, что из 86 несовершеннолетних пассажиров 43 (50%) – перевозились с использованием детских удерживающих систем или ремней безопасности. Следовательно, 50% детей перевоз</w:t>
      </w:r>
      <w:r w:rsidRPr="00C047E3">
        <w:rPr>
          <w:rFonts w:eastAsia="Times New Roman"/>
          <w:sz w:val="28"/>
          <w:szCs w:val="28"/>
          <w:highlight w:val="red"/>
          <w:lang w:eastAsia="ru-RU"/>
        </w:rPr>
        <w:t>и</w:t>
      </w:r>
      <w:r w:rsidRPr="00C047E3">
        <w:rPr>
          <w:rFonts w:eastAsia="Times New Roman"/>
          <w:sz w:val="28"/>
          <w:szCs w:val="28"/>
          <w:highlight w:val="red"/>
          <w:lang w:eastAsia="ru-RU"/>
        </w:rPr>
        <w:t>лись в транспортном средстве без них, в их числе все трое погибших нес</w:t>
      </w:r>
      <w:r w:rsidRPr="00C047E3">
        <w:rPr>
          <w:rFonts w:eastAsia="Times New Roman"/>
          <w:sz w:val="28"/>
          <w:szCs w:val="28"/>
          <w:highlight w:val="red"/>
          <w:lang w:eastAsia="ru-RU"/>
        </w:rPr>
        <w:t>о</w:t>
      </w:r>
      <w:r w:rsidRPr="00C047E3">
        <w:rPr>
          <w:rFonts w:eastAsia="Times New Roman"/>
          <w:sz w:val="28"/>
          <w:szCs w:val="28"/>
          <w:highlight w:val="red"/>
          <w:lang w:eastAsia="ru-RU"/>
        </w:rPr>
        <w:t>вершеннолетних.</w:t>
      </w:r>
      <w:r w:rsidRPr="00E82D83">
        <w:rPr>
          <w:rFonts w:eastAsia="Times New Roman"/>
          <w:sz w:val="28"/>
          <w:szCs w:val="28"/>
          <w:lang w:eastAsia="ru-RU"/>
        </w:rPr>
        <w:t xml:space="preserve">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32 пострадавший ребенка получили травмы в населенном пункте, вне населенного пункта в ДТП пострадали 54 несовершеннолетних, из которых трое погибли (в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Усть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–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Куломском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E82D83">
        <w:rPr>
          <w:rFonts w:eastAsia="Times New Roman"/>
          <w:sz w:val="28"/>
          <w:szCs w:val="28"/>
          <w:lang w:eastAsia="ru-RU"/>
        </w:rPr>
        <w:t>Удорском</w:t>
      </w:r>
      <w:proofErr w:type="spellEnd"/>
      <w:r w:rsidRPr="00E82D83">
        <w:rPr>
          <w:rFonts w:eastAsia="Times New Roman"/>
          <w:sz w:val="28"/>
          <w:szCs w:val="28"/>
          <w:lang w:eastAsia="ru-RU"/>
        </w:rPr>
        <w:t xml:space="preserve"> районах).</w:t>
      </w:r>
    </w:p>
    <w:p w:rsidR="0071393E" w:rsidRPr="00E82D83" w:rsidRDefault="0071393E" w:rsidP="0071393E">
      <w:pPr>
        <w:tabs>
          <w:tab w:val="left" w:pos="1080"/>
        </w:tabs>
        <w:ind w:firstLine="720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snapToGrid w:val="0"/>
          <w:sz w:val="28"/>
          <w:szCs w:val="28"/>
          <w:lang w:eastAsia="ru-RU"/>
        </w:rPr>
        <w:t>20 (23,3%) несовершеннолетних были пассажирами рейсовых автобусов и 2 пассажирами школьных автобусов. В 1 ДТП были выявлены наруш</w:t>
      </w:r>
      <w:r w:rsidRPr="00E82D83">
        <w:rPr>
          <w:rFonts w:eastAsia="Times New Roman"/>
          <w:snapToGrid w:val="0"/>
          <w:sz w:val="28"/>
          <w:szCs w:val="28"/>
          <w:lang w:eastAsia="ru-RU"/>
        </w:rPr>
        <w:t>е</w:t>
      </w:r>
      <w:r w:rsidRPr="00E82D83">
        <w:rPr>
          <w:rFonts w:eastAsia="Times New Roman"/>
          <w:snapToGrid w:val="0"/>
          <w:sz w:val="28"/>
          <w:szCs w:val="28"/>
          <w:lang w:eastAsia="ru-RU"/>
        </w:rPr>
        <w:t>ния организованной перевозки групп детей.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b/>
          <w:sz w:val="28"/>
          <w:szCs w:val="28"/>
          <w:lang w:eastAsia="ru-RU"/>
        </w:rPr>
        <w:t>– В 13 ДТП (7,9% от общего числа ДТП) (АППГ – 14) пострадали 12 несовершеннолетних водителей велосипедов, один ребенок погиб.</w:t>
      </w:r>
      <w:r w:rsidRPr="00E82D83">
        <w:rPr>
          <w:rFonts w:eastAsia="Times New Roman"/>
          <w:sz w:val="28"/>
          <w:szCs w:val="28"/>
          <w:lang w:eastAsia="ru-RU"/>
        </w:rPr>
        <w:t xml:space="preserve">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12 пострадавших получили травмы в населенном пункте, вне населенного пункта в ДТП пострадал один ребенок – велосипедист. По собственной неосторожности пострадали 10 детей (АППГ – 4). </w:t>
      </w:r>
    </w:p>
    <w:p w:rsidR="0071393E" w:rsidRPr="00E82D83" w:rsidRDefault="0071393E" w:rsidP="0071393E">
      <w:pPr>
        <w:snapToGrid w:val="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noProof/>
          <w:color w:val="FF0000"/>
          <w:sz w:val="28"/>
          <w:szCs w:val="20"/>
          <w:lang w:eastAsia="ru-RU"/>
        </w:rPr>
        <w:lastRenderedPageBreak/>
        <w:drawing>
          <wp:inline distT="0" distB="0" distL="0" distR="0">
            <wp:extent cx="5667375" cy="3044825"/>
            <wp:effectExtent l="0" t="0" r="0" b="0"/>
            <wp:docPr id="1" name="Диаграмма 1" descr="Название: ДТП с участием детей - велосипедист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E82D83">
        <w:rPr>
          <w:rFonts w:eastAsia="Times New Roman"/>
          <w:sz w:val="28"/>
          <w:szCs w:val="28"/>
          <w:lang w:eastAsia="ru-RU"/>
        </w:rPr>
        <w:t xml:space="preserve">Причины ДТП по неосторожности детей - велосипедистов: </w:t>
      </w:r>
    </w:p>
    <w:p w:rsidR="0071393E" w:rsidRPr="00E82D83" w:rsidRDefault="0071393E" w:rsidP="0071393E">
      <w:pPr>
        <w:ind w:firstLine="720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snapToGrid w:val="0"/>
          <w:sz w:val="28"/>
          <w:szCs w:val="28"/>
          <w:lang w:eastAsia="ru-RU"/>
        </w:rPr>
        <w:t xml:space="preserve">– выезд на проезжую часть в возрасте до 14 лет – 3 </w:t>
      </w:r>
    </w:p>
    <w:p w:rsidR="0071393E" w:rsidRPr="00E82D83" w:rsidRDefault="0071393E" w:rsidP="0071393E">
      <w:pPr>
        <w:ind w:firstLine="720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snapToGrid w:val="0"/>
          <w:sz w:val="28"/>
          <w:szCs w:val="28"/>
          <w:lang w:eastAsia="ru-RU"/>
        </w:rPr>
        <w:t>– езда по тротуару велосипедистом в возрасте старше 14 лет – 1;</w:t>
      </w:r>
    </w:p>
    <w:p w:rsidR="0071393E" w:rsidRPr="00E82D83" w:rsidRDefault="0071393E" w:rsidP="0071393E">
      <w:pPr>
        <w:ind w:firstLine="720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snapToGrid w:val="0"/>
          <w:sz w:val="28"/>
          <w:szCs w:val="28"/>
          <w:lang w:eastAsia="ru-RU"/>
        </w:rPr>
        <w:t>– переезд проезжей части на велосипеде (не спешившись) – 6 детей.</w:t>
      </w:r>
    </w:p>
    <w:p w:rsidR="0071393E" w:rsidRPr="00E82D83" w:rsidRDefault="0071393E" w:rsidP="0071393E">
      <w:pPr>
        <w:tabs>
          <w:tab w:val="left" w:pos="1080"/>
        </w:tabs>
        <w:ind w:firstLine="720"/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E82D83">
        <w:rPr>
          <w:rFonts w:eastAsia="Times New Roman"/>
          <w:b/>
          <w:snapToGrid w:val="0"/>
          <w:sz w:val="28"/>
          <w:szCs w:val="28"/>
          <w:lang w:eastAsia="ru-RU"/>
        </w:rPr>
        <w:t xml:space="preserve">– 7 ДТП </w:t>
      </w:r>
      <w:r w:rsidRPr="00E82D83">
        <w:rPr>
          <w:rFonts w:eastAsia="Times New Roman"/>
          <w:b/>
          <w:szCs w:val="28"/>
          <w:lang w:eastAsia="ru-RU"/>
        </w:rPr>
        <w:t>(</w:t>
      </w:r>
      <w:r w:rsidRPr="00E82D83">
        <w:rPr>
          <w:rFonts w:eastAsia="Times New Roman"/>
          <w:b/>
          <w:snapToGrid w:val="0"/>
          <w:sz w:val="28"/>
          <w:szCs w:val="28"/>
          <w:lang w:eastAsia="ru-RU"/>
        </w:rPr>
        <w:t>4,2% от общего числа ДТП) произошло с участием несовершеннолетних водителей бурана, скутера, мопедов и мотоциклов</w:t>
      </w:r>
      <w:r w:rsidRPr="00E82D83">
        <w:rPr>
          <w:rFonts w:eastAsia="Times New Roman"/>
          <w:snapToGrid w:val="0"/>
          <w:sz w:val="28"/>
          <w:szCs w:val="28"/>
          <w:lang w:eastAsia="ru-RU"/>
        </w:rPr>
        <w:t xml:space="preserve">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red"/>
          <w:lang w:eastAsia="ru-RU"/>
        </w:rPr>
        <w:t>Таким образом, по неосторожности детей произошло 54 ДТП (32,7%) (АППГ – 34). По сравнению с аналогичным периодом прошлого года на 37 % увеличилось количество ДТП, где усматривается вина несовершеннолетних.</w:t>
      </w:r>
    </w:p>
    <w:p w:rsidR="0071393E" w:rsidRPr="00C047E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cyan"/>
          <w:lang w:eastAsia="ru-RU"/>
        </w:rPr>
        <w:t xml:space="preserve">Средний водительский стаж участников ДТП с 2002 года. 11 ДТП произошли с участием </w:t>
      </w:r>
      <w:proofErr w:type="gramStart"/>
      <w:r w:rsidRPr="00C047E3">
        <w:rPr>
          <w:rFonts w:eastAsia="Times New Roman"/>
          <w:sz w:val="28"/>
          <w:szCs w:val="28"/>
          <w:highlight w:val="cyan"/>
          <w:lang w:eastAsia="ru-RU"/>
        </w:rPr>
        <w:t>водителей</w:t>
      </w:r>
      <w:proofErr w:type="gramEnd"/>
      <w:r w:rsidRPr="00C047E3">
        <w:rPr>
          <w:rFonts w:eastAsia="Times New Roman"/>
          <w:sz w:val="28"/>
          <w:szCs w:val="28"/>
          <w:highlight w:val="cyan"/>
          <w:lang w:eastAsia="ru-RU"/>
        </w:rPr>
        <w:t xml:space="preserve"> не имеющих водительского удостоверения.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По вине водителей, управляющих транспортными средствами в состоянии опьянения зарегистрировано 20 ДТП в результате которых, два ребенка погибли и 23 получили травмы (в одном ДТП водитель ТС в состоянии опьянения </w:t>
      </w:r>
      <w:proofErr w:type="gramStart"/>
      <w:r w:rsidRPr="00C047E3">
        <w:rPr>
          <w:rFonts w:eastAsia="Times New Roman"/>
          <w:sz w:val="28"/>
          <w:szCs w:val="28"/>
          <w:highlight w:val="yellow"/>
          <w:lang w:eastAsia="ru-RU"/>
        </w:rPr>
        <w:t>являлся отцом</w:t>
      </w:r>
      <w:proofErr w:type="gramEnd"/>
      <w:r w:rsidRPr="00C047E3">
        <w:rPr>
          <w:rFonts w:eastAsia="Times New Roman"/>
          <w:sz w:val="28"/>
          <w:szCs w:val="28"/>
          <w:highlight w:val="yellow"/>
          <w:lang w:eastAsia="ru-RU"/>
        </w:rPr>
        <w:t xml:space="preserve"> пострадавших детей пассажиров). Из них 4 – е водителя не имели права управления транспортными средствами</w:t>
      </w:r>
      <w:r w:rsidRPr="00E82D83">
        <w:rPr>
          <w:rFonts w:eastAsia="Times New Roman"/>
          <w:sz w:val="28"/>
          <w:szCs w:val="28"/>
          <w:lang w:eastAsia="ru-RU"/>
        </w:rPr>
        <w:t>.</w:t>
      </w:r>
    </w:p>
    <w:p w:rsidR="0071393E" w:rsidRPr="00E82D83" w:rsidRDefault="0071393E" w:rsidP="0071393E">
      <w:pPr>
        <w:snapToGri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71393E" w:rsidRDefault="0071393E" w:rsidP="0071393E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71393E" w:rsidRDefault="0071393E" w:rsidP="0071393E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71393E" w:rsidRDefault="0071393E" w:rsidP="0071393E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71393E" w:rsidRDefault="0071393E" w:rsidP="0071393E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71393E" w:rsidRDefault="0071393E" w:rsidP="0071393E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71393E" w:rsidRDefault="0071393E" w:rsidP="0071393E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876598" w:rsidRDefault="00876598"/>
    <w:sectPr w:rsidR="00876598" w:rsidSect="00180C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97"/>
    <w:rsid w:val="00006C92"/>
    <w:rsid w:val="00012FC5"/>
    <w:rsid w:val="00014550"/>
    <w:rsid w:val="0001650D"/>
    <w:rsid w:val="0001745C"/>
    <w:rsid w:val="00017E14"/>
    <w:rsid w:val="00022319"/>
    <w:rsid w:val="00027A06"/>
    <w:rsid w:val="00034594"/>
    <w:rsid w:val="00040156"/>
    <w:rsid w:val="000405A3"/>
    <w:rsid w:val="000451C5"/>
    <w:rsid w:val="00045347"/>
    <w:rsid w:val="00045879"/>
    <w:rsid w:val="00046E5C"/>
    <w:rsid w:val="0005064F"/>
    <w:rsid w:val="00054A18"/>
    <w:rsid w:val="00055087"/>
    <w:rsid w:val="00060B30"/>
    <w:rsid w:val="00062019"/>
    <w:rsid w:val="00063782"/>
    <w:rsid w:val="00064A88"/>
    <w:rsid w:val="00067299"/>
    <w:rsid w:val="0006771D"/>
    <w:rsid w:val="000728EC"/>
    <w:rsid w:val="00072A0B"/>
    <w:rsid w:val="00073D62"/>
    <w:rsid w:val="0007761B"/>
    <w:rsid w:val="00083114"/>
    <w:rsid w:val="00085C11"/>
    <w:rsid w:val="000915CE"/>
    <w:rsid w:val="000937AA"/>
    <w:rsid w:val="000A12A7"/>
    <w:rsid w:val="000A5179"/>
    <w:rsid w:val="000A7885"/>
    <w:rsid w:val="000B5987"/>
    <w:rsid w:val="000C06C8"/>
    <w:rsid w:val="000C2CF5"/>
    <w:rsid w:val="000D116C"/>
    <w:rsid w:val="000D1D67"/>
    <w:rsid w:val="000D30EF"/>
    <w:rsid w:val="000D5C4D"/>
    <w:rsid w:val="000E35D1"/>
    <w:rsid w:val="000E4D0F"/>
    <w:rsid w:val="000E75C5"/>
    <w:rsid w:val="000F1B67"/>
    <w:rsid w:val="000F23F2"/>
    <w:rsid w:val="000F2B0F"/>
    <w:rsid w:val="000F2BF3"/>
    <w:rsid w:val="000F6E53"/>
    <w:rsid w:val="00100D60"/>
    <w:rsid w:val="001061FE"/>
    <w:rsid w:val="00110E3C"/>
    <w:rsid w:val="001112F1"/>
    <w:rsid w:val="00113886"/>
    <w:rsid w:val="001210C8"/>
    <w:rsid w:val="0012275D"/>
    <w:rsid w:val="001234DF"/>
    <w:rsid w:val="00124071"/>
    <w:rsid w:val="00131B5C"/>
    <w:rsid w:val="00131BDE"/>
    <w:rsid w:val="00132BEC"/>
    <w:rsid w:val="0013457E"/>
    <w:rsid w:val="00135275"/>
    <w:rsid w:val="001362C6"/>
    <w:rsid w:val="001412CD"/>
    <w:rsid w:val="00142447"/>
    <w:rsid w:val="00142B23"/>
    <w:rsid w:val="0014500F"/>
    <w:rsid w:val="0016167B"/>
    <w:rsid w:val="0016230E"/>
    <w:rsid w:val="001638F8"/>
    <w:rsid w:val="00163CFA"/>
    <w:rsid w:val="00166CEB"/>
    <w:rsid w:val="0017186B"/>
    <w:rsid w:val="00174B91"/>
    <w:rsid w:val="0017510A"/>
    <w:rsid w:val="00177C01"/>
    <w:rsid w:val="0018058C"/>
    <w:rsid w:val="00190285"/>
    <w:rsid w:val="00190969"/>
    <w:rsid w:val="00194299"/>
    <w:rsid w:val="001A08D6"/>
    <w:rsid w:val="001A2DB7"/>
    <w:rsid w:val="001A3224"/>
    <w:rsid w:val="001A3A73"/>
    <w:rsid w:val="001B142D"/>
    <w:rsid w:val="001B3A39"/>
    <w:rsid w:val="001B4366"/>
    <w:rsid w:val="001B602F"/>
    <w:rsid w:val="001B6BCC"/>
    <w:rsid w:val="001C2536"/>
    <w:rsid w:val="001C31CE"/>
    <w:rsid w:val="001D494B"/>
    <w:rsid w:val="001D4CDB"/>
    <w:rsid w:val="001D5071"/>
    <w:rsid w:val="001D542F"/>
    <w:rsid w:val="001D6C3C"/>
    <w:rsid w:val="001E30D7"/>
    <w:rsid w:val="001E30F7"/>
    <w:rsid w:val="001E44C8"/>
    <w:rsid w:val="001E5907"/>
    <w:rsid w:val="001E6487"/>
    <w:rsid w:val="001E7FF1"/>
    <w:rsid w:val="001F49BA"/>
    <w:rsid w:val="001F4A6E"/>
    <w:rsid w:val="001F4DC5"/>
    <w:rsid w:val="00203009"/>
    <w:rsid w:val="00207989"/>
    <w:rsid w:val="002162C9"/>
    <w:rsid w:val="00217C0E"/>
    <w:rsid w:val="00225934"/>
    <w:rsid w:val="002279C5"/>
    <w:rsid w:val="0023363B"/>
    <w:rsid w:val="00233A74"/>
    <w:rsid w:val="002446AD"/>
    <w:rsid w:val="0024570A"/>
    <w:rsid w:val="00245E08"/>
    <w:rsid w:val="00251FA8"/>
    <w:rsid w:val="002533F5"/>
    <w:rsid w:val="00254C68"/>
    <w:rsid w:val="002572FC"/>
    <w:rsid w:val="002605BD"/>
    <w:rsid w:val="00260ADB"/>
    <w:rsid w:val="002619F5"/>
    <w:rsid w:val="00262275"/>
    <w:rsid w:val="00263AB2"/>
    <w:rsid w:val="002668B3"/>
    <w:rsid w:val="00266A94"/>
    <w:rsid w:val="00271328"/>
    <w:rsid w:val="0027762B"/>
    <w:rsid w:val="00280A6D"/>
    <w:rsid w:val="00280E6E"/>
    <w:rsid w:val="00285D6C"/>
    <w:rsid w:val="00286C92"/>
    <w:rsid w:val="00287CD4"/>
    <w:rsid w:val="00291FC6"/>
    <w:rsid w:val="0029398A"/>
    <w:rsid w:val="002967A6"/>
    <w:rsid w:val="0029683A"/>
    <w:rsid w:val="00297DFB"/>
    <w:rsid w:val="002A06CF"/>
    <w:rsid w:val="002A2FC2"/>
    <w:rsid w:val="002A30F3"/>
    <w:rsid w:val="002B0C1F"/>
    <w:rsid w:val="002B2D91"/>
    <w:rsid w:val="002B340C"/>
    <w:rsid w:val="002B6F5A"/>
    <w:rsid w:val="002C0B96"/>
    <w:rsid w:val="002D1EF3"/>
    <w:rsid w:val="002D3501"/>
    <w:rsid w:val="002D5845"/>
    <w:rsid w:val="002D671D"/>
    <w:rsid w:val="002E1078"/>
    <w:rsid w:val="002E2190"/>
    <w:rsid w:val="002E22D0"/>
    <w:rsid w:val="002E3999"/>
    <w:rsid w:val="002E7692"/>
    <w:rsid w:val="002E7DBC"/>
    <w:rsid w:val="002F19C0"/>
    <w:rsid w:val="002F3161"/>
    <w:rsid w:val="002F3B65"/>
    <w:rsid w:val="002F500E"/>
    <w:rsid w:val="0030666C"/>
    <w:rsid w:val="00307DA8"/>
    <w:rsid w:val="003100C4"/>
    <w:rsid w:val="00311357"/>
    <w:rsid w:val="003119F1"/>
    <w:rsid w:val="00312F76"/>
    <w:rsid w:val="00315E41"/>
    <w:rsid w:val="003167E6"/>
    <w:rsid w:val="00317A50"/>
    <w:rsid w:val="00320C66"/>
    <w:rsid w:val="00322841"/>
    <w:rsid w:val="00325177"/>
    <w:rsid w:val="00327925"/>
    <w:rsid w:val="00330A62"/>
    <w:rsid w:val="00333466"/>
    <w:rsid w:val="00337A82"/>
    <w:rsid w:val="003419CA"/>
    <w:rsid w:val="00344357"/>
    <w:rsid w:val="00346235"/>
    <w:rsid w:val="00350E06"/>
    <w:rsid w:val="003518C0"/>
    <w:rsid w:val="00352103"/>
    <w:rsid w:val="00354E46"/>
    <w:rsid w:val="00355C7C"/>
    <w:rsid w:val="00360CC7"/>
    <w:rsid w:val="00361880"/>
    <w:rsid w:val="00362B5F"/>
    <w:rsid w:val="00364E3C"/>
    <w:rsid w:val="00373BC7"/>
    <w:rsid w:val="00374F4F"/>
    <w:rsid w:val="00375F0A"/>
    <w:rsid w:val="003823B5"/>
    <w:rsid w:val="00384009"/>
    <w:rsid w:val="003858EB"/>
    <w:rsid w:val="00391FB5"/>
    <w:rsid w:val="00395A5C"/>
    <w:rsid w:val="003A14C1"/>
    <w:rsid w:val="003A380D"/>
    <w:rsid w:val="003A6894"/>
    <w:rsid w:val="003A72B7"/>
    <w:rsid w:val="003A781D"/>
    <w:rsid w:val="003B0E2D"/>
    <w:rsid w:val="003B0EE5"/>
    <w:rsid w:val="003B11FE"/>
    <w:rsid w:val="003B1B29"/>
    <w:rsid w:val="003B371D"/>
    <w:rsid w:val="003B6B71"/>
    <w:rsid w:val="003C1E74"/>
    <w:rsid w:val="003C795B"/>
    <w:rsid w:val="003D08FD"/>
    <w:rsid w:val="003D1647"/>
    <w:rsid w:val="003D1711"/>
    <w:rsid w:val="003D182D"/>
    <w:rsid w:val="003D4D93"/>
    <w:rsid w:val="003D6C13"/>
    <w:rsid w:val="003E1036"/>
    <w:rsid w:val="003E291C"/>
    <w:rsid w:val="003E47B5"/>
    <w:rsid w:val="003F0851"/>
    <w:rsid w:val="003F16F6"/>
    <w:rsid w:val="003F2142"/>
    <w:rsid w:val="003F5EC5"/>
    <w:rsid w:val="0040107D"/>
    <w:rsid w:val="00403017"/>
    <w:rsid w:val="00404E21"/>
    <w:rsid w:val="004050E7"/>
    <w:rsid w:val="004052E3"/>
    <w:rsid w:val="0040553D"/>
    <w:rsid w:val="0040720E"/>
    <w:rsid w:val="00407A3E"/>
    <w:rsid w:val="00407D5B"/>
    <w:rsid w:val="00422A55"/>
    <w:rsid w:val="00422DD5"/>
    <w:rsid w:val="004237BB"/>
    <w:rsid w:val="00431289"/>
    <w:rsid w:val="00431429"/>
    <w:rsid w:val="00433718"/>
    <w:rsid w:val="00433AAC"/>
    <w:rsid w:val="004342B2"/>
    <w:rsid w:val="004410DE"/>
    <w:rsid w:val="00442202"/>
    <w:rsid w:val="004436F5"/>
    <w:rsid w:val="00443E45"/>
    <w:rsid w:val="00445504"/>
    <w:rsid w:val="004473C0"/>
    <w:rsid w:val="0044789F"/>
    <w:rsid w:val="00450861"/>
    <w:rsid w:val="00452FA5"/>
    <w:rsid w:val="00453905"/>
    <w:rsid w:val="00455A48"/>
    <w:rsid w:val="00456741"/>
    <w:rsid w:val="00456761"/>
    <w:rsid w:val="004569AD"/>
    <w:rsid w:val="00457ACB"/>
    <w:rsid w:val="00457E67"/>
    <w:rsid w:val="00462DAC"/>
    <w:rsid w:val="004708BB"/>
    <w:rsid w:val="00474CDF"/>
    <w:rsid w:val="00483580"/>
    <w:rsid w:val="00487983"/>
    <w:rsid w:val="0049182A"/>
    <w:rsid w:val="0049430E"/>
    <w:rsid w:val="00494873"/>
    <w:rsid w:val="004A3783"/>
    <w:rsid w:val="004A38F7"/>
    <w:rsid w:val="004B3FC0"/>
    <w:rsid w:val="004B4E20"/>
    <w:rsid w:val="004B6612"/>
    <w:rsid w:val="004B6D9A"/>
    <w:rsid w:val="004B7723"/>
    <w:rsid w:val="004C3E5F"/>
    <w:rsid w:val="004C3FE7"/>
    <w:rsid w:val="004C51DF"/>
    <w:rsid w:val="004D5D34"/>
    <w:rsid w:val="004D7E7F"/>
    <w:rsid w:val="004E206A"/>
    <w:rsid w:val="004E37BB"/>
    <w:rsid w:val="004E6776"/>
    <w:rsid w:val="004E79B2"/>
    <w:rsid w:val="004F1FDD"/>
    <w:rsid w:val="004F3EF3"/>
    <w:rsid w:val="004F7D05"/>
    <w:rsid w:val="004F7E58"/>
    <w:rsid w:val="005008F0"/>
    <w:rsid w:val="005010E4"/>
    <w:rsid w:val="005040BD"/>
    <w:rsid w:val="00507AB7"/>
    <w:rsid w:val="005105AC"/>
    <w:rsid w:val="00510776"/>
    <w:rsid w:val="00510FEC"/>
    <w:rsid w:val="005145C4"/>
    <w:rsid w:val="005177D3"/>
    <w:rsid w:val="00522A03"/>
    <w:rsid w:val="00525108"/>
    <w:rsid w:val="0052687F"/>
    <w:rsid w:val="005353F2"/>
    <w:rsid w:val="00536C4C"/>
    <w:rsid w:val="00537218"/>
    <w:rsid w:val="00542CC5"/>
    <w:rsid w:val="0054378E"/>
    <w:rsid w:val="005505A0"/>
    <w:rsid w:val="0055292B"/>
    <w:rsid w:val="00553150"/>
    <w:rsid w:val="005570E5"/>
    <w:rsid w:val="00560CBA"/>
    <w:rsid w:val="00562553"/>
    <w:rsid w:val="00563299"/>
    <w:rsid w:val="00563763"/>
    <w:rsid w:val="0056425B"/>
    <w:rsid w:val="00571389"/>
    <w:rsid w:val="00571E4F"/>
    <w:rsid w:val="00572310"/>
    <w:rsid w:val="005726EF"/>
    <w:rsid w:val="00573494"/>
    <w:rsid w:val="005756E0"/>
    <w:rsid w:val="005762E2"/>
    <w:rsid w:val="0057660A"/>
    <w:rsid w:val="00581D03"/>
    <w:rsid w:val="00584B13"/>
    <w:rsid w:val="00590126"/>
    <w:rsid w:val="0059083C"/>
    <w:rsid w:val="00593A85"/>
    <w:rsid w:val="00595161"/>
    <w:rsid w:val="005956D8"/>
    <w:rsid w:val="005A5B45"/>
    <w:rsid w:val="005A6631"/>
    <w:rsid w:val="005A77CA"/>
    <w:rsid w:val="005B0DA3"/>
    <w:rsid w:val="005B14D0"/>
    <w:rsid w:val="005C3F05"/>
    <w:rsid w:val="005C6C05"/>
    <w:rsid w:val="005C7AAF"/>
    <w:rsid w:val="005D121A"/>
    <w:rsid w:val="005D22CA"/>
    <w:rsid w:val="005D44B5"/>
    <w:rsid w:val="005E002E"/>
    <w:rsid w:val="005E2F37"/>
    <w:rsid w:val="005E6581"/>
    <w:rsid w:val="005F4BFA"/>
    <w:rsid w:val="006043B9"/>
    <w:rsid w:val="0060497C"/>
    <w:rsid w:val="006108C5"/>
    <w:rsid w:val="00610EAF"/>
    <w:rsid w:val="006124E2"/>
    <w:rsid w:val="006137AB"/>
    <w:rsid w:val="006155AA"/>
    <w:rsid w:val="0061751B"/>
    <w:rsid w:val="006178AE"/>
    <w:rsid w:val="00620310"/>
    <w:rsid w:val="0062081B"/>
    <w:rsid w:val="006234F4"/>
    <w:rsid w:val="00623563"/>
    <w:rsid w:val="00624496"/>
    <w:rsid w:val="00626A09"/>
    <w:rsid w:val="00627276"/>
    <w:rsid w:val="00627623"/>
    <w:rsid w:val="006278B8"/>
    <w:rsid w:val="00634A7D"/>
    <w:rsid w:val="00646EC7"/>
    <w:rsid w:val="0064787B"/>
    <w:rsid w:val="00647D4D"/>
    <w:rsid w:val="00651564"/>
    <w:rsid w:val="0066231F"/>
    <w:rsid w:val="006629C3"/>
    <w:rsid w:val="00664CAE"/>
    <w:rsid w:val="006662AB"/>
    <w:rsid w:val="006701F7"/>
    <w:rsid w:val="006707CA"/>
    <w:rsid w:val="00673254"/>
    <w:rsid w:val="0067477A"/>
    <w:rsid w:val="006815EB"/>
    <w:rsid w:val="00681C3D"/>
    <w:rsid w:val="00681FEC"/>
    <w:rsid w:val="00681FF6"/>
    <w:rsid w:val="00684B51"/>
    <w:rsid w:val="00686F58"/>
    <w:rsid w:val="00692111"/>
    <w:rsid w:val="00695104"/>
    <w:rsid w:val="006957CC"/>
    <w:rsid w:val="006A13D6"/>
    <w:rsid w:val="006A2869"/>
    <w:rsid w:val="006A2A01"/>
    <w:rsid w:val="006A2DA3"/>
    <w:rsid w:val="006A4AF2"/>
    <w:rsid w:val="006A5F26"/>
    <w:rsid w:val="006B2BA0"/>
    <w:rsid w:val="006B32E2"/>
    <w:rsid w:val="006C15CD"/>
    <w:rsid w:val="006C59CB"/>
    <w:rsid w:val="006C62D8"/>
    <w:rsid w:val="006C6A21"/>
    <w:rsid w:val="006D31CA"/>
    <w:rsid w:val="006D6A63"/>
    <w:rsid w:val="00703092"/>
    <w:rsid w:val="00711D25"/>
    <w:rsid w:val="0071393E"/>
    <w:rsid w:val="00713D81"/>
    <w:rsid w:val="0071503C"/>
    <w:rsid w:val="007152B7"/>
    <w:rsid w:val="007161F1"/>
    <w:rsid w:val="00720184"/>
    <w:rsid w:val="00723FD6"/>
    <w:rsid w:val="00725FA2"/>
    <w:rsid w:val="00726438"/>
    <w:rsid w:val="007277F5"/>
    <w:rsid w:val="0073221A"/>
    <w:rsid w:val="00742D01"/>
    <w:rsid w:val="0074517A"/>
    <w:rsid w:val="00751E08"/>
    <w:rsid w:val="007625E6"/>
    <w:rsid w:val="00763086"/>
    <w:rsid w:val="00766530"/>
    <w:rsid w:val="007755EF"/>
    <w:rsid w:val="0077754F"/>
    <w:rsid w:val="007815B3"/>
    <w:rsid w:val="00785A1F"/>
    <w:rsid w:val="00787DBF"/>
    <w:rsid w:val="007905A2"/>
    <w:rsid w:val="0079196E"/>
    <w:rsid w:val="00791C0F"/>
    <w:rsid w:val="0079265F"/>
    <w:rsid w:val="0079472F"/>
    <w:rsid w:val="00795AE3"/>
    <w:rsid w:val="007A2390"/>
    <w:rsid w:val="007A2CDF"/>
    <w:rsid w:val="007A502E"/>
    <w:rsid w:val="007A6EF9"/>
    <w:rsid w:val="007B2AAE"/>
    <w:rsid w:val="007B69EA"/>
    <w:rsid w:val="007C0AD7"/>
    <w:rsid w:val="007C1937"/>
    <w:rsid w:val="007C3559"/>
    <w:rsid w:val="007C5C78"/>
    <w:rsid w:val="007C6443"/>
    <w:rsid w:val="007D107C"/>
    <w:rsid w:val="007D24A6"/>
    <w:rsid w:val="007D5076"/>
    <w:rsid w:val="007D5BA3"/>
    <w:rsid w:val="007D7551"/>
    <w:rsid w:val="007E006F"/>
    <w:rsid w:val="007F1A3B"/>
    <w:rsid w:val="007F1AD3"/>
    <w:rsid w:val="007F2286"/>
    <w:rsid w:val="007F3C72"/>
    <w:rsid w:val="007F5024"/>
    <w:rsid w:val="008119A1"/>
    <w:rsid w:val="0081212C"/>
    <w:rsid w:val="0081462F"/>
    <w:rsid w:val="00816A52"/>
    <w:rsid w:val="00830E96"/>
    <w:rsid w:val="00831FA5"/>
    <w:rsid w:val="0083208B"/>
    <w:rsid w:val="00833933"/>
    <w:rsid w:val="00835E75"/>
    <w:rsid w:val="00835F8F"/>
    <w:rsid w:val="008414C5"/>
    <w:rsid w:val="008438BE"/>
    <w:rsid w:val="0084519D"/>
    <w:rsid w:val="0085402C"/>
    <w:rsid w:val="00855965"/>
    <w:rsid w:val="00863194"/>
    <w:rsid w:val="00870713"/>
    <w:rsid w:val="0087203F"/>
    <w:rsid w:val="008740F1"/>
    <w:rsid w:val="00876598"/>
    <w:rsid w:val="00877160"/>
    <w:rsid w:val="008809C1"/>
    <w:rsid w:val="00880C76"/>
    <w:rsid w:val="0088271D"/>
    <w:rsid w:val="00882B6D"/>
    <w:rsid w:val="00882D07"/>
    <w:rsid w:val="00893DA4"/>
    <w:rsid w:val="008A56E8"/>
    <w:rsid w:val="008A588E"/>
    <w:rsid w:val="008B5230"/>
    <w:rsid w:val="008B5A17"/>
    <w:rsid w:val="008C2E12"/>
    <w:rsid w:val="008C5246"/>
    <w:rsid w:val="008C5B83"/>
    <w:rsid w:val="008D34EE"/>
    <w:rsid w:val="008D45FF"/>
    <w:rsid w:val="008D71FE"/>
    <w:rsid w:val="008E3EEC"/>
    <w:rsid w:val="008F10E9"/>
    <w:rsid w:val="008F182D"/>
    <w:rsid w:val="008F3E04"/>
    <w:rsid w:val="008F480E"/>
    <w:rsid w:val="008F5BE4"/>
    <w:rsid w:val="009039F9"/>
    <w:rsid w:val="009103FE"/>
    <w:rsid w:val="00911B62"/>
    <w:rsid w:val="009124EE"/>
    <w:rsid w:val="00921C0E"/>
    <w:rsid w:val="00921DD7"/>
    <w:rsid w:val="00921FCB"/>
    <w:rsid w:val="009227AB"/>
    <w:rsid w:val="00923C98"/>
    <w:rsid w:val="0092467B"/>
    <w:rsid w:val="0093004D"/>
    <w:rsid w:val="0093056D"/>
    <w:rsid w:val="00930D73"/>
    <w:rsid w:val="00936953"/>
    <w:rsid w:val="00937704"/>
    <w:rsid w:val="00941116"/>
    <w:rsid w:val="00941A5C"/>
    <w:rsid w:val="00945C8F"/>
    <w:rsid w:val="00947F42"/>
    <w:rsid w:val="00952E91"/>
    <w:rsid w:val="009532E9"/>
    <w:rsid w:val="0095336B"/>
    <w:rsid w:val="009578C9"/>
    <w:rsid w:val="009629C9"/>
    <w:rsid w:val="009657F8"/>
    <w:rsid w:val="0096624C"/>
    <w:rsid w:val="0097477C"/>
    <w:rsid w:val="00974E92"/>
    <w:rsid w:val="009756CE"/>
    <w:rsid w:val="009768AC"/>
    <w:rsid w:val="009814BC"/>
    <w:rsid w:val="00982CB1"/>
    <w:rsid w:val="00985BE9"/>
    <w:rsid w:val="0098610D"/>
    <w:rsid w:val="00987299"/>
    <w:rsid w:val="0099327B"/>
    <w:rsid w:val="009A1793"/>
    <w:rsid w:val="009A22E4"/>
    <w:rsid w:val="009A2881"/>
    <w:rsid w:val="009A29BC"/>
    <w:rsid w:val="009A4F23"/>
    <w:rsid w:val="009C19FE"/>
    <w:rsid w:val="009C5402"/>
    <w:rsid w:val="009D7A6A"/>
    <w:rsid w:val="009D7D46"/>
    <w:rsid w:val="009E0962"/>
    <w:rsid w:val="009E2798"/>
    <w:rsid w:val="009E58EA"/>
    <w:rsid w:val="009E59C7"/>
    <w:rsid w:val="009E5D9A"/>
    <w:rsid w:val="009F0558"/>
    <w:rsid w:val="009F4490"/>
    <w:rsid w:val="00A01530"/>
    <w:rsid w:val="00A01F29"/>
    <w:rsid w:val="00A0331B"/>
    <w:rsid w:val="00A05C82"/>
    <w:rsid w:val="00A06CD8"/>
    <w:rsid w:val="00A1049C"/>
    <w:rsid w:val="00A1072E"/>
    <w:rsid w:val="00A116F7"/>
    <w:rsid w:val="00A17002"/>
    <w:rsid w:val="00A17023"/>
    <w:rsid w:val="00A2088E"/>
    <w:rsid w:val="00A20AA3"/>
    <w:rsid w:val="00A23A25"/>
    <w:rsid w:val="00A26870"/>
    <w:rsid w:val="00A26B03"/>
    <w:rsid w:val="00A33405"/>
    <w:rsid w:val="00A3623D"/>
    <w:rsid w:val="00A37DEF"/>
    <w:rsid w:val="00A42067"/>
    <w:rsid w:val="00A43C69"/>
    <w:rsid w:val="00A55EE5"/>
    <w:rsid w:val="00A56F43"/>
    <w:rsid w:val="00A62005"/>
    <w:rsid w:val="00A64D1A"/>
    <w:rsid w:val="00A64D9D"/>
    <w:rsid w:val="00A67DC7"/>
    <w:rsid w:val="00A72F5C"/>
    <w:rsid w:val="00A73EC4"/>
    <w:rsid w:val="00A74AC7"/>
    <w:rsid w:val="00A75372"/>
    <w:rsid w:val="00A77D9F"/>
    <w:rsid w:val="00A8254E"/>
    <w:rsid w:val="00A82C5A"/>
    <w:rsid w:val="00A85948"/>
    <w:rsid w:val="00A86943"/>
    <w:rsid w:val="00A86C37"/>
    <w:rsid w:val="00A91611"/>
    <w:rsid w:val="00A91C5B"/>
    <w:rsid w:val="00A92A89"/>
    <w:rsid w:val="00A95FAD"/>
    <w:rsid w:val="00A96D64"/>
    <w:rsid w:val="00A96ED5"/>
    <w:rsid w:val="00AB0279"/>
    <w:rsid w:val="00AB0742"/>
    <w:rsid w:val="00AB4536"/>
    <w:rsid w:val="00AB521D"/>
    <w:rsid w:val="00AB6D4E"/>
    <w:rsid w:val="00AB79BB"/>
    <w:rsid w:val="00AC4BE5"/>
    <w:rsid w:val="00AC656F"/>
    <w:rsid w:val="00AC7846"/>
    <w:rsid w:val="00AD2DA5"/>
    <w:rsid w:val="00AE0AF5"/>
    <w:rsid w:val="00AE2B8F"/>
    <w:rsid w:val="00AE3216"/>
    <w:rsid w:val="00AE68F5"/>
    <w:rsid w:val="00AE7C97"/>
    <w:rsid w:val="00AF051E"/>
    <w:rsid w:val="00AF11DF"/>
    <w:rsid w:val="00AF1417"/>
    <w:rsid w:val="00AF1676"/>
    <w:rsid w:val="00AF4803"/>
    <w:rsid w:val="00AF5B0A"/>
    <w:rsid w:val="00AF5C68"/>
    <w:rsid w:val="00AF5CFA"/>
    <w:rsid w:val="00AF71AC"/>
    <w:rsid w:val="00AF73C3"/>
    <w:rsid w:val="00B0002B"/>
    <w:rsid w:val="00B0324F"/>
    <w:rsid w:val="00B07F87"/>
    <w:rsid w:val="00B106B0"/>
    <w:rsid w:val="00B11E62"/>
    <w:rsid w:val="00B126FB"/>
    <w:rsid w:val="00B1323D"/>
    <w:rsid w:val="00B1716E"/>
    <w:rsid w:val="00B177DB"/>
    <w:rsid w:val="00B21335"/>
    <w:rsid w:val="00B30740"/>
    <w:rsid w:val="00B3099A"/>
    <w:rsid w:val="00B33835"/>
    <w:rsid w:val="00B369AB"/>
    <w:rsid w:val="00B370D8"/>
    <w:rsid w:val="00B40C39"/>
    <w:rsid w:val="00B4329D"/>
    <w:rsid w:val="00B45593"/>
    <w:rsid w:val="00B45937"/>
    <w:rsid w:val="00B45ADE"/>
    <w:rsid w:val="00B51551"/>
    <w:rsid w:val="00B5336F"/>
    <w:rsid w:val="00B53A9D"/>
    <w:rsid w:val="00B56AA8"/>
    <w:rsid w:val="00B6235A"/>
    <w:rsid w:val="00B65602"/>
    <w:rsid w:val="00B656AE"/>
    <w:rsid w:val="00B661A0"/>
    <w:rsid w:val="00B67C0A"/>
    <w:rsid w:val="00B710A0"/>
    <w:rsid w:val="00B75A45"/>
    <w:rsid w:val="00B75DCC"/>
    <w:rsid w:val="00B802E5"/>
    <w:rsid w:val="00B80CE8"/>
    <w:rsid w:val="00B81266"/>
    <w:rsid w:val="00B833C8"/>
    <w:rsid w:val="00B8529F"/>
    <w:rsid w:val="00B90D42"/>
    <w:rsid w:val="00B92AA8"/>
    <w:rsid w:val="00B92CBB"/>
    <w:rsid w:val="00B960CB"/>
    <w:rsid w:val="00BA019D"/>
    <w:rsid w:val="00BA2A10"/>
    <w:rsid w:val="00BA2E70"/>
    <w:rsid w:val="00BA593C"/>
    <w:rsid w:val="00BA5D2D"/>
    <w:rsid w:val="00BB217F"/>
    <w:rsid w:val="00BB2C99"/>
    <w:rsid w:val="00BB2E9F"/>
    <w:rsid w:val="00BB3D37"/>
    <w:rsid w:val="00BC1529"/>
    <w:rsid w:val="00BC59DE"/>
    <w:rsid w:val="00BC70FF"/>
    <w:rsid w:val="00BD1022"/>
    <w:rsid w:val="00BD2EA9"/>
    <w:rsid w:val="00BD649D"/>
    <w:rsid w:val="00BD6936"/>
    <w:rsid w:val="00BE242E"/>
    <w:rsid w:val="00BF1719"/>
    <w:rsid w:val="00BF226E"/>
    <w:rsid w:val="00BF26C9"/>
    <w:rsid w:val="00BF4ACD"/>
    <w:rsid w:val="00BF70F9"/>
    <w:rsid w:val="00C02E5E"/>
    <w:rsid w:val="00C051FF"/>
    <w:rsid w:val="00C13C90"/>
    <w:rsid w:val="00C16E6A"/>
    <w:rsid w:val="00C2051D"/>
    <w:rsid w:val="00C206E2"/>
    <w:rsid w:val="00C219AD"/>
    <w:rsid w:val="00C2305B"/>
    <w:rsid w:val="00C239CD"/>
    <w:rsid w:val="00C241FA"/>
    <w:rsid w:val="00C24785"/>
    <w:rsid w:val="00C24DF2"/>
    <w:rsid w:val="00C26724"/>
    <w:rsid w:val="00C30404"/>
    <w:rsid w:val="00C32A6C"/>
    <w:rsid w:val="00C351E3"/>
    <w:rsid w:val="00C37B63"/>
    <w:rsid w:val="00C37E29"/>
    <w:rsid w:val="00C42498"/>
    <w:rsid w:val="00C43F80"/>
    <w:rsid w:val="00C469B2"/>
    <w:rsid w:val="00C50AB4"/>
    <w:rsid w:val="00C546E4"/>
    <w:rsid w:val="00C63767"/>
    <w:rsid w:val="00C700D9"/>
    <w:rsid w:val="00C72CB3"/>
    <w:rsid w:val="00C7454B"/>
    <w:rsid w:val="00C747AC"/>
    <w:rsid w:val="00C76BB5"/>
    <w:rsid w:val="00C76EB1"/>
    <w:rsid w:val="00C8108D"/>
    <w:rsid w:val="00C834F2"/>
    <w:rsid w:val="00C840E8"/>
    <w:rsid w:val="00C85EFD"/>
    <w:rsid w:val="00C86EF6"/>
    <w:rsid w:val="00C909B3"/>
    <w:rsid w:val="00C92DDF"/>
    <w:rsid w:val="00C9448F"/>
    <w:rsid w:val="00C94546"/>
    <w:rsid w:val="00C9610D"/>
    <w:rsid w:val="00CA6453"/>
    <w:rsid w:val="00CB137E"/>
    <w:rsid w:val="00CB2142"/>
    <w:rsid w:val="00CB4AD5"/>
    <w:rsid w:val="00CC02FE"/>
    <w:rsid w:val="00CC2186"/>
    <w:rsid w:val="00CC3056"/>
    <w:rsid w:val="00CC6924"/>
    <w:rsid w:val="00CD18FE"/>
    <w:rsid w:val="00CD660C"/>
    <w:rsid w:val="00CD6C7B"/>
    <w:rsid w:val="00CE1B22"/>
    <w:rsid w:val="00CE2573"/>
    <w:rsid w:val="00CE2B87"/>
    <w:rsid w:val="00CE38C2"/>
    <w:rsid w:val="00CE567A"/>
    <w:rsid w:val="00CE6A99"/>
    <w:rsid w:val="00CE7125"/>
    <w:rsid w:val="00CF0C54"/>
    <w:rsid w:val="00CF2BF0"/>
    <w:rsid w:val="00CF6C22"/>
    <w:rsid w:val="00D00776"/>
    <w:rsid w:val="00D0089C"/>
    <w:rsid w:val="00D02FAE"/>
    <w:rsid w:val="00D042AA"/>
    <w:rsid w:val="00D10D7E"/>
    <w:rsid w:val="00D14A6E"/>
    <w:rsid w:val="00D157C9"/>
    <w:rsid w:val="00D214F8"/>
    <w:rsid w:val="00D226D5"/>
    <w:rsid w:val="00D2469E"/>
    <w:rsid w:val="00D261E0"/>
    <w:rsid w:val="00D27559"/>
    <w:rsid w:val="00D302FC"/>
    <w:rsid w:val="00D3201B"/>
    <w:rsid w:val="00D33216"/>
    <w:rsid w:val="00D36936"/>
    <w:rsid w:val="00D40D11"/>
    <w:rsid w:val="00D437EB"/>
    <w:rsid w:val="00D4566A"/>
    <w:rsid w:val="00D4608F"/>
    <w:rsid w:val="00D50B35"/>
    <w:rsid w:val="00D50C13"/>
    <w:rsid w:val="00D524D9"/>
    <w:rsid w:val="00D576CC"/>
    <w:rsid w:val="00D5793A"/>
    <w:rsid w:val="00D627F5"/>
    <w:rsid w:val="00D638B3"/>
    <w:rsid w:val="00D63D06"/>
    <w:rsid w:val="00D6467D"/>
    <w:rsid w:val="00D67234"/>
    <w:rsid w:val="00D7067E"/>
    <w:rsid w:val="00D75C30"/>
    <w:rsid w:val="00D76431"/>
    <w:rsid w:val="00D8535F"/>
    <w:rsid w:val="00D8588F"/>
    <w:rsid w:val="00D953EF"/>
    <w:rsid w:val="00DA1ACA"/>
    <w:rsid w:val="00DA7687"/>
    <w:rsid w:val="00DB21C4"/>
    <w:rsid w:val="00DB3557"/>
    <w:rsid w:val="00DB77A6"/>
    <w:rsid w:val="00DC10F8"/>
    <w:rsid w:val="00DC2CA9"/>
    <w:rsid w:val="00DD0669"/>
    <w:rsid w:val="00DD1E74"/>
    <w:rsid w:val="00DD31DD"/>
    <w:rsid w:val="00DD47D3"/>
    <w:rsid w:val="00DD584B"/>
    <w:rsid w:val="00DE1654"/>
    <w:rsid w:val="00DE2580"/>
    <w:rsid w:val="00DE6FDE"/>
    <w:rsid w:val="00DF35F8"/>
    <w:rsid w:val="00DF4275"/>
    <w:rsid w:val="00DF6305"/>
    <w:rsid w:val="00DF7B46"/>
    <w:rsid w:val="00E00561"/>
    <w:rsid w:val="00E0278A"/>
    <w:rsid w:val="00E02BFD"/>
    <w:rsid w:val="00E0456D"/>
    <w:rsid w:val="00E10F8A"/>
    <w:rsid w:val="00E172DD"/>
    <w:rsid w:val="00E17EAF"/>
    <w:rsid w:val="00E27DDE"/>
    <w:rsid w:val="00E30BF2"/>
    <w:rsid w:val="00E30CF8"/>
    <w:rsid w:val="00E30E11"/>
    <w:rsid w:val="00E340EB"/>
    <w:rsid w:val="00E37EBB"/>
    <w:rsid w:val="00E414A3"/>
    <w:rsid w:val="00E4237E"/>
    <w:rsid w:val="00E42676"/>
    <w:rsid w:val="00E43DE5"/>
    <w:rsid w:val="00E46538"/>
    <w:rsid w:val="00E507ED"/>
    <w:rsid w:val="00E5159B"/>
    <w:rsid w:val="00E51A01"/>
    <w:rsid w:val="00E51FF5"/>
    <w:rsid w:val="00E54ED2"/>
    <w:rsid w:val="00E570E4"/>
    <w:rsid w:val="00E60821"/>
    <w:rsid w:val="00E60FBB"/>
    <w:rsid w:val="00E6100F"/>
    <w:rsid w:val="00E65EF0"/>
    <w:rsid w:val="00E672DD"/>
    <w:rsid w:val="00E7246B"/>
    <w:rsid w:val="00E74333"/>
    <w:rsid w:val="00E743EE"/>
    <w:rsid w:val="00E7571F"/>
    <w:rsid w:val="00E8135F"/>
    <w:rsid w:val="00E82260"/>
    <w:rsid w:val="00E835BE"/>
    <w:rsid w:val="00E9386A"/>
    <w:rsid w:val="00E939A0"/>
    <w:rsid w:val="00E96252"/>
    <w:rsid w:val="00E97881"/>
    <w:rsid w:val="00EA3246"/>
    <w:rsid w:val="00EA33C2"/>
    <w:rsid w:val="00EB1F5F"/>
    <w:rsid w:val="00EB20AF"/>
    <w:rsid w:val="00EB2191"/>
    <w:rsid w:val="00EB226B"/>
    <w:rsid w:val="00EB46EE"/>
    <w:rsid w:val="00EB6A26"/>
    <w:rsid w:val="00EC1009"/>
    <w:rsid w:val="00EC2D9B"/>
    <w:rsid w:val="00EC4389"/>
    <w:rsid w:val="00EC47C3"/>
    <w:rsid w:val="00EC685D"/>
    <w:rsid w:val="00ED0CA9"/>
    <w:rsid w:val="00ED221C"/>
    <w:rsid w:val="00ED3135"/>
    <w:rsid w:val="00ED6FE0"/>
    <w:rsid w:val="00EE0DF7"/>
    <w:rsid w:val="00EE1C49"/>
    <w:rsid w:val="00EE1DE1"/>
    <w:rsid w:val="00EE365F"/>
    <w:rsid w:val="00EE38DF"/>
    <w:rsid w:val="00EF1A71"/>
    <w:rsid w:val="00EF3060"/>
    <w:rsid w:val="00EF63F1"/>
    <w:rsid w:val="00F00CA1"/>
    <w:rsid w:val="00F04B56"/>
    <w:rsid w:val="00F06598"/>
    <w:rsid w:val="00F126E3"/>
    <w:rsid w:val="00F13E15"/>
    <w:rsid w:val="00F15C40"/>
    <w:rsid w:val="00F16C84"/>
    <w:rsid w:val="00F200C6"/>
    <w:rsid w:val="00F22BCB"/>
    <w:rsid w:val="00F242AC"/>
    <w:rsid w:val="00F25FEA"/>
    <w:rsid w:val="00F266C9"/>
    <w:rsid w:val="00F31FEE"/>
    <w:rsid w:val="00F33593"/>
    <w:rsid w:val="00F35166"/>
    <w:rsid w:val="00F3610A"/>
    <w:rsid w:val="00F41777"/>
    <w:rsid w:val="00F434D0"/>
    <w:rsid w:val="00F44494"/>
    <w:rsid w:val="00F4526E"/>
    <w:rsid w:val="00F467DC"/>
    <w:rsid w:val="00F511DA"/>
    <w:rsid w:val="00F53B47"/>
    <w:rsid w:val="00F55B7D"/>
    <w:rsid w:val="00F5639A"/>
    <w:rsid w:val="00F57348"/>
    <w:rsid w:val="00F62095"/>
    <w:rsid w:val="00F64219"/>
    <w:rsid w:val="00F67849"/>
    <w:rsid w:val="00F725D5"/>
    <w:rsid w:val="00F77809"/>
    <w:rsid w:val="00F82B5D"/>
    <w:rsid w:val="00F84252"/>
    <w:rsid w:val="00F87A19"/>
    <w:rsid w:val="00F9196B"/>
    <w:rsid w:val="00F93603"/>
    <w:rsid w:val="00F93CA6"/>
    <w:rsid w:val="00F941EA"/>
    <w:rsid w:val="00F956B4"/>
    <w:rsid w:val="00FA095F"/>
    <w:rsid w:val="00FA40F6"/>
    <w:rsid w:val="00FA46BE"/>
    <w:rsid w:val="00FA524A"/>
    <w:rsid w:val="00FA546F"/>
    <w:rsid w:val="00FA5933"/>
    <w:rsid w:val="00FB1C00"/>
    <w:rsid w:val="00FC4433"/>
    <w:rsid w:val="00FC47A5"/>
    <w:rsid w:val="00FC6BE4"/>
    <w:rsid w:val="00FC7EF5"/>
    <w:rsid w:val="00FD10FE"/>
    <w:rsid w:val="00FD2DD1"/>
    <w:rsid w:val="00FD529C"/>
    <w:rsid w:val="00FD57D1"/>
    <w:rsid w:val="00FE4237"/>
    <w:rsid w:val="00FE4844"/>
    <w:rsid w:val="00FE50C4"/>
    <w:rsid w:val="00FE6512"/>
    <w:rsid w:val="00FF0EC0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1393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3E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1393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3E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40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40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159</c:v>
                </c:pt>
                <c:pt idx="1">
                  <c:v>4</c:v>
                </c:pt>
                <c:pt idx="2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61696"/>
        <c:axId val="190863232"/>
      </c:barChart>
      <c:catAx>
        <c:axId val="19086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63232"/>
        <c:crosses val="autoZero"/>
        <c:auto val="1"/>
        <c:lblAlgn val="ctr"/>
        <c:lblOffset val="100"/>
        <c:noMultiLvlLbl val="0"/>
      </c:catAx>
      <c:valAx>
        <c:axId val="190863232"/>
        <c:scaling>
          <c:orientation val="minMax"/>
          <c:max val="200"/>
        </c:scaling>
        <c:delete val="0"/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861696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overlay val="0"/>
      <c:spPr>
        <a:noFill/>
        <a:ln w="2540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78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78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  <c:pt idx="8">
                  <c:v>18</c:v>
                </c:pt>
                <c:pt idx="9">
                  <c:v>15</c:v>
                </c:pt>
                <c:pt idx="10">
                  <c:v>18</c:v>
                </c:pt>
                <c:pt idx="11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900480"/>
        <c:axId val="190980096"/>
      </c:lineChart>
      <c:catAx>
        <c:axId val="19090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80096"/>
        <c:crosses val="autoZero"/>
        <c:auto val="1"/>
        <c:lblAlgn val="ctr"/>
        <c:lblOffset val="100"/>
        <c:noMultiLvlLbl val="0"/>
      </c:catAx>
      <c:valAx>
        <c:axId val="190980096"/>
        <c:scaling>
          <c:orientation val="minMax"/>
          <c:max val="23"/>
          <c:min val="5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900480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-57"/>
        <c:axId val="190726144"/>
        <c:axId val="190727680"/>
      </c:barChart>
      <c:catAx>
        <c:axId val="190726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0727680"/>
        <c:crosses val="autoZero"/>
        <c:auto val="1"/>
        <c:lblAlgn val="ctr"/>
        <c:lblOffset val="100"/>
        <c:noMultiLvlLbl val="0"/>
      </c:catAx>
      <c:valAx>
        <c:axId val="190727680"/>
        <c:scaling>
          <c:orientation val="minMax"/>
          <c:max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726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9217596947139288"/>
          <c:w val="1"/>
          <c:h val="0.95698942069101434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 участников</a:t>
            </a:r>
          </a:p>
        </c:rich>
      </c:tx>
      <c:overlay val="0"/>
      <c:spPr>
        <a:noFill/>
        <a:ln w="2538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89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</c:v>
                </c:pt>
                <c:pt idx="1">
                  <c:v>65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084416"/>
        <c:axId val="191085952"/>
      </c:barChart>
      <c:catAx>
        <c:axId val="19108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85952"/>
        <c:crosses val="autoZero"/>
        <c:auto val="1"/>
        <c:lblAlgn val="ctr"/>
        <c:lblOffset val="100"/>
        <c:noMultiLvlLbl val="0"/>
      </c:catAx>
      <c:valAx>
        <c:axId val="191085952"/>
        <c:scaling>
          <c:orientation val="minMax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84416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 w="2538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89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1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176448"/>
        <c:axId val="185177984"/>
      </c:barChart>
      <c:catAx>
        <c:axId val="18517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1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177984"/>
        <c:crosses val="autoZero"/>
        <c:auto val="1"/>
        <c:lblAlgn val="ctr"/>
        <c:lblOffset val="100"/>
        <c:noMultiLvlLbl val="0"/>
      </c:catAx>
      <c:valAx>
        <c:axId val="185177984"/>
        <c:scaling>
          <c:orientation val="minMax"/>
          <c:max val="90"/>
        </c:scaling>
        <c:delete val="0"/>
        <c:axPos val="l"/>
        <c:majorGridlines>
          <c:spPr>
            <a:ln w="9521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17644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 w="25367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67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67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068800"/>
        <c:axId val="193175936"/>
      </c:barChart>
      <c:catAx>
        <c:axId val="19106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3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175936"/>
        <c:crosses val="autoZero"/>
        <c:auto val="1"/>
        <c:lblAlgn val="ctr"/>
        <c:lblOffset val="100"/>
        <c:noMultiLvlLbl val="0"/>
      </c:catAx>
      <c:valAx>
        <c:axId val="193175936"/>
        <c:scaling>
          <c:orientation val="minMax"/>
        </c:scaling>
        <c:delete val="0"/>
        <c:axPos val="l"/>
        <c:majorGridlines>
          <c:spPr>
            <a:ln w="951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068800"/>
        <c:crosses val="autoZero"/>
        <c:crossBetween val="between"/>
      </c:valAx>
      <c:spPr>
        <a:noFill/>
        <a:ln w="25367">
          <a:noFill/>
        </a:ln>
      </c:spPr>
    </c:plotArea>
    <c:legend>
      <c:legendPos val="b"/>
      <c:overlay val="0"/>
      <c:spPr>
        <a:noFill/>
        <a:ln w="25367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overlay val="0"/>
      <c:spPr>
        <a:noFill/>
        <a:ln w="253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947069116360459E-2"/>
          <c:y val="0.13832549037879141"/>
          <c:w val="0.9190529308836396"/>
          <c:h val="0.67884390190871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5B9BD5"/>
            </a:solidFill>
            <a:ln w="25371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ED7D31"/>
            </a:solidFill>
            <a:ln w="25371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767104"/>
        <c:axId val="192768640"/>
      </c:barChart>
      <c:catAx>
        <c:axId val="19276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68640"/>
        <c:crosses val="autoZero"/>
        <c:auto val="1"/>
        <c:lblAlgn val="ctr"/>
        <c:lblOffset val="100"/>
        <c:noMultiLvlLbl val="0"/>
      </c:catAx>
      <c:valAx>
        <c:axId val="192768640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767104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overlay val="0"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ДС-60</dc:creator>
  <cp:keywords/>
  <dc:description/>
  <cp:lastModifiedBy>ДС-60</cp:lastModifiedBy>
  <cp:revision>3</cp:revision>
  <dcterms:created xsi:type="dcterms:W3CDTF">2018-02-07T11:06:00Z</dcterms:created>
  <dcterms:modified xsi:type="dcterms:W3CDTF">2018-02-07T11:06:00Z</dcterms:modified>
</cp:coreProperties>
</file>